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RM6329 for the provision of Logistics and Warehouse Solutions.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RM6329</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bookmarkStart w:colFirst="0" w:colLast="0" w:name="_heading=h.1fob9te" w:id="2"/>
      <w:bookmarkEnd w:id="2"/>
      <w:r w:rsidDel="00000000" w:rsidR="00000000" w:rsidRPr="00000000">
        <w:rPr>
          <w:rFonts w:ascii="Arial" w:cs="Arial" w:eastAsia="Arial" w:hAnsi="Arial"/>
          <w:color w:val="000000"/>
          <w:sz w:val="24"/>
          <w:szCs w:val="24"/>
          <w:highlight w:val="yellow"/>
          <w:rtl w:val="0"/>
        </w:rPr>
        <w:t xml:space="preserve"> [Call-Off Schedule 12 (Clustering) </w:t>
        <w:tab/>
        <w:tab/>
        <w:tab/>
        <w:tab/>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tab/>
        <w:tab/>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bookmarkStart w:colFirst="0" w:colLast="0" w:name="_heading=h.3znysh7" w:id="3"/>
      <w:bookmarkEnd w:id="3"/>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25 (Domestic Transport)]</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26 (Domestic Storage and Fulfilment)]</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27 (International Warehousing, Storage and Fulfilment)]</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28 (International Transport)}</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RM6329</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4"/>
      <w:bookmarkEnd w:id="4"/>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D">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7">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C">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D">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0">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2">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5">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A">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B">
      <w:pPr>
        <w:rPr>
          <w:rFonts w:ascii="Arial" w:cs="Arial" w:eastAsia="Arial" w:hAnsi="Arial"/>
          <w:color w:val="1f497d"/>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C">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SG8WSFNChenyD5TKttv31nbVQ==">CgMxLjAyCWguMzBqMHpsbDIIaC5namRneHMyCWguMWZvYjl0ZTIJaC4zem55c2g3MgppZC4zMGowemxsOAByITEtem9CN19ramJucDFkS1dDMHdfMmlkb2swMnZ5LV8tSw==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2024-02-08T16:01:00Z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gCurrentVersion">
    <vt:lpwstr>17 November 2017 D1V8</vt:lpwstr>
  </property>
</Properties>
</file>